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67E30" w14:textId="77777777" w:rsidR="00BE3935" w:rsidRPr="00B74DA3" w:rsidRDefault="00BE3935" w:rsidP="00BE3935">
      <w:pPr>
        <w:jc w:val="center"/>
        <w:rPr>
          <w:rFonts w:ascii="Times New Roman" w:hAnsi="Times New Roman" w:cs="Times New Roman"/>
          <w:sz w:val="32"/>
          <w:szCs w:val="28"/>
          <w:u w:val="single"/>
        </w:rPr>
      </w:pPr>
      <w:bookmarkStart w:id="0" w:name="_GoBack"/>
      <w:bookmarkEnd w:id="0"/>
      <w:r w:rsidRPr="00B74DA3">
        <w:rPr>
          <w:rFonts w:ascii="Times New Roman" w:hAnsi="Times New Roman" w:cs="Times New Roman"/>
          <w:b/>
          <w:i/>
          <w:sz w:val="32"/>
          <w:szCs w:val="28"/>
          <w:u w:val="single"/>
        </w:rPr>
        <w:t>Public Utility Commission of Texas</w:t>
      </w:r>
    </w:p>
    <w:p w14:paraId="57E3AD76" w14:textId="77777777" w:rsidR="00BE3935" w:rsidRDefault="00BE3935" w:rsidP="00BE393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74DA3">
        <w:rPr>
          <w:rFonts w:ascii="Times New Roman" w:hAnsi="Times New Roman" w:cs="Times New Roman"/>
          <w:b/>
          <w:sz w:val="32"/>
          <w:szCs w:val="28"/>
        </w:rPr>
        <w:t>Memorandum</w:t>
      </w:r>
    </w:p>
    <w:p w14:paraId="7F977C70" w14:textId="77777777" w:rsidR="005F284A" w:rsidRPr="00B74DA3" w:rsidRDefault="005F284A" w:rsidP="00B74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826048" w14:textId="1E3E4A68" w:rsidR="00BE3935" w:rsidRPr="005F284A" w:rsidRDefault="00BE3935" w:rsidP="00BE3935">
      <w:pPr>
        <w:rPr>
          <w:rFonts w:ascii="Times New Roman" w:hAnsi="Times New Roman" w:cs="Times New Roman"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TO:</w:t>
      </w:r>
      <w:r w:rsidRPr="00B74DA3">
        <w:rPr>
          <w:rFonts w:ascii="Times New Roman" w:hAnsi="Times New Roman" w:cs="Times New Roman"/>
          <w:b/>
          <w:sz w:val="24"/>
          <w:szCs w:val="24"/>
        </w:rPr>
        <w:tab/>
      </w:r>
      <w:r w:rsidRPr="00B74DA3">
        <w:rPr>
          <w:rFonts w:ascii="Times New Roman" w:hAnsi="Times New Roman" w:cs="Times New Roman"/>
          <w:b/>
          <w:sz w:val="24"/>
          <w:szCs w:val="24"/>
        </w:rPr>
        <w:tab/>
      </w:r>
      <w:r w:rsidR="00D0398B">
        <w:rPr>
          <w:rFonts w:ascii="Times New Roman" w:hAnsi="Times New Roman" w:cs="Times New Roman"/>
          <w:bCs/>
          <w:sz w:val="24"/>
          <w:szCs w:val="24"/>
        </w:rPr>
        <w:t>Taylor Denison</w:t>
      </w:r>
      <w:r w:rsidR="009A096E" w:rsidRPr="005F284A">
        <w:rPr>
          <w:rFonts w:ascii="Times New Roman" w:hAnsi="Times New Roman" w:cs="Times New Roman"/>
          <w:sz w:val="24"/>
          <w:szCs w:val="24"/>
        </w:rPr>
        <w:t>, Legal Division</w:t>
      </w:r>
    </w:p>
    <w:p w14:paraId="28B490E2" w14:textId="5569F4A8" w:rsidR="009A096E" w:rsidRPr="00B74DA3" w:rsidRDefault="009A096E" w:rsidP="00BE3935">
      <w:pPr>
        <w:rPr>
          <w:rFonts w:ascii="Times New Roman" w:hAnsi="Times New Roman" w:cs="Times New Roman"/>
          <w:b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FROM:</w:t>
      </w:r>
      <w:r w:rsidRPr="00B74DA3">
        <w:rPr>
          <w:rFonts w:ascii="Times New Roman" w:hAnsi="Times New Roman" w:cs="Times New Roman"/>
          <w:b/>
          <w:sz w:val="24"/>
          <w:szCs w:val="24"/>
        </w:rPr>
        <w:tab/>
      </w:r>
      <w:bookmarkStart w:id="1" w:name="_Hlk38462750"/>
      <w:r w:rsidR="00E55F9A">
        <w:rPr>
          <w:rFonts w:ascii="Times New Roman" w:hAnsi="Times New Roman" w:cs="Times New Roman"/>
          <w:sz w:val="24"/>
          <w:szCs w:val="24"/>
        </w:rPr>
        <w:t>William Abbott</w:t>
      </w:r>
      <w:r w:rsidRPr="005F284A">
        <w:rPr>
          <w:rFonts w:ascii="Times New Roman" w:hAnsi="Times New Roman" w:cs="Times New Roman"/>
          <w:sz w:val="24"/>
          <w:szCs w:val="24"/>
        </w:rPr>
        <w:t xml:space="preserve">, </w:t>
      </w:r>
      <w:r w:rsidR="00E22402">
        <w:rPr>
          <w:rFonts w:ascii="Times New Roman" w:hAnsi="Times New Roman" w:cs="Times New Roman"/>
          <w:sz w:val="24"/>
          <w:szCs w:val="24"/>
        </w:rPr>
        <w:t xml:space="preserve">Director, </w:t>
      </w:r>
      <w:r w:rsidRPr="005F284A">
        <w:rPr>
          <w:rFonts w:ascii="Times New Roman" w:hAnsi="Times New Roman" w:cs="Times New Roman"/>
          <w:sz w:val="24"/>
          <w:szCs w:val="24"/>
        </w:rPr>
        <w:t>Tariff &amp; Rate Analysis, Rate Regulation Division</w:t>
      </w:r>
      <w:bookmarkEnd w:id="1"/>
    </w:p>
    <w:p w14:paraId="32270911" w14:textId="10B0577C" w:rsidR="009A096E" w:rsidRPr="00EC0AAD" w:rsidRDefault="00436435" w:rsidP="00B74DA3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RE:</w:t>
      </w:r>
      <w:r w:rsidRPr="00B74DA3">
        <w:rPr>
          <w:rFonts w:ascii="Times New Roman" w:hAnsi="Times New Roman" w:cs="Times New Roman"/>
          <w:b/>
          <w:sz w:val="24"/>
          <w:szCs w:val="24"/>
        </w:rPr>
        <w:tab/>
      </w:r>
      <w:r w:rsidR="00E22402">
        <w:rPr>
          <w:rFonts w:ascii="Times New Roman" w:hAnsi="Times New Roman" w:cs="Times New Roman"/>
          <w:b/>
          <w:sz w:val="24"/>
          <w:szCs w:val="24"/>
        </w:rPr>
        <w:t>Docket</w:t>
      </w:r>
      <w:r w:rsidR="008C1149" w:rsidRPr="005F284A">
        <w:rPr>
          <w:rFonts w:ascii="Times New Roman" w:hAnsi="Times New Roman" w:cs="Times New Roman"/>
          <w:b/>
          <w:sz w:val="24"/>
          <w:szCs w:val="24"/>
        </w:rPr>
        <w:t xml:space="preserve"> No. </w:t>
      </w:r>
      <w:r w:rsidR="00F853CB">
        <w:rPr>
          <w:rFonts w:ascii="Times New Roman" w:hAnsi="Times New Roman" w:cs="Times New Roman"/>
          <w:b/>
          <w:sz w:val="24"/>
          <w:szCs w:val="24"/>
        </w:rPr>
        <w:t>50</w:t>
      </w:r>
      <w:r w:rsidR="00E55F9A">
        <w:rPr>
          <w:rFonts w:ascii="Times New Roman" w:hAnsi="Times New Roman" w:cs="Times New Roman"/>
          <w:b/>
          <w:sz w:val="24"/>
          <w:szCs w:val="24"/>
        </w:rPr>
        <w:t>7</w:t>
      </w:r>
      <w:r w:rsidR="00D0398B">
        <w:rPr>
          <w:rFonts w:ascii="Times New Roman" w:hAnsi="Times New Roman" w:cs="Times New Roman"/>
          <w:b/>
          <w:sz w:val="24"/>
          <w:szCs w:val="24"/>
        </w:rPr>
        <w:t>5</w:t>
      </w:r>
      <w:r w:rsidR="00E22402">
        <w:rPr>
          <w:rFonts w:ascii="Times New Roman" w:hAnsi="Times New Roman" w:cs="Times New Roman"/>
          <w:b/>
          <w:sz w:val="24"/>
          <w:szCs w:val="24"/>
        </w:rPr>
        <w:t>8</w:t>
      </w:r>
      <w:r w:rsidR="005E25E7" w:rsidRPr="005F284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C0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98B">
        <w:rPr>
          <w:rFonts w:ascii="Times New Roman" w:hAnsi="Times New Roman" w:cs="Times New Roman"/>
          <w:bCs/>
          <w:i/>
          <w:iCs/>
          <w:sz w:val="24"/>
          <w:szCs w:val="24"/>
        </w:rPr>
        <w:t>Interim True-Up Compliance Filing for AEP Texas Concerning Rider TC-3 – Transition Charge-3 Rates</w:t>
      </w:r>
      <w:r w:rsidR="00E2240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69457EC1" w14:textId="77777777" w:rsidR="005F284A" w:rsidRPr="005F284A" w:rsidRDefault="005F284A" w:rsidP="00B74DA3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E939849" w14:textId="6F2B6A73" w:rsidR="00AC1162" w:rsidRPr="00B74DA3" w:rsidRDefault="009A096E" w:rsidP="000F24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4DA3">
        <w:rPr>
          <w:rFonts w:ascii="Times New Roman" w:hAnsi="Times New Roman" w:cs="Times New Roman"/>
          <w:b/>
          <w:sz w:val="24"/>
          <w:szCs w:val="24"/>
        </w:rPr>
        <w:t>DATE:</w:t>
      </w:r>
      <w:r w:rsidR="00BD2EA7" w:rsidRPr="005F284A">
        <w:rPr>
          <w:rFonts w:ascii="Times New Roman" w:hAnsi="Times New Roman" w:cs="Times New Roman"/>
          <w:sz w:val="24"/>
          <w:szCs w:val="24"/>
        </w:rPr>
        <w:tab/>
      </w:r>
      <w:r w:rsidR="00E22402">
        <w:rPr>
          <w:rFonts w:ascii="Times New Roman" w:hAnsi="Times New Roman" w:cs="Times New Roman"/>
          <w:sz w:val="24"/>
          <w:szCs w:val="24"/>
        </w:rPr>
        <w:t>April</w:t>
      </w:r>
      <w:r w:rsidR="00EC0AAD">
        <w:rPr>
          <w:rFonts w:ascii="Times New Roman" w:hAnsi="Times New Roman" w:cs="Times New Roman"/>
          <w:sz w:val="24"/>
          <w:szCs w:val="24"/>
        </w:rPr>
        <w:t xml:space="preserve"> </w:t>
      </w:r>
      <w:r w:rsidR="00D0398B">
        <w:rPr>
          <w:rFonts w:ascii="Times New Roman" w:hAnsi="Times New Roman" w:cs="Times New Roman"/>
          <w:sz w:val="24"/>
          <w:szCs w:val="24"/>
        </w:rPr>
        <w:t>2</w:t>
      </w:r>
      <w:r w:rsidR="00A063AD">
        <w:rPr>
          <w:rFonts w:ascii="Times New Roman" w:hAnsi="Times New Roman" w:cs="Times New Roman"/>
          <w:sz w:val="24"/>
          <w:szCs w:val="24"/>
        </w:rPr>
        <w:t>3</w:t>
      </w:r>
      <w:r w:rsidR="00D17CFC">
        <w:rPr>
          <w:rFonts w:ascii="Times New Roman" w:hAnsi="Times New Roman" w:cs="Times New Roman"/>
          <w:sz w:val="24"/>
          <w:szCs w:val="24"/>
        </w:rPr>
        <w:t>, 20</w:t>
      </w:r>
      <w:r w:rsidR="00F853CB">
        <w:rPr>
          <w:rFonts w:ascii="Times New Roman" w:hAnsi="Times New Roman" w:cs="Times New Roman"/>
          <w:sz w:val="24"/>
          <w:szCs w:val="24"/>
        </w:rPr>
        <w:t>20</w:t>
      </w:r>
    </w:p>
    <w:p w14:paraId="3E785A57" w14:textId="403C5ECE" w:rsidR="00826EA2" w:rsidRPr="00596DF6" w:rsidRDefault="00B82864" w:rsidP="00596D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___________</w:t>
      </w:r>
      <w:r w:rsidR="000F2430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_______________</w:t>
      </w:r>
      <w:r w:rsidR="00AC1162">
        <w:rPr>
          <w:rFonts w:ascii="Times New Roman" w:hAnsi="Times New Roman" w:cs="Times New Roman"/>
        </w:rPr>
        <w:t>_________________________</w:t>
      </w:r>
    </w:p>
    <w:p w14:paraId="2A2E7E4B" w14:textId="77777777" w:rsidR="00826EA2" w:rsidRDefault="00826EA2" w:rsidP="00C72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B7537B" w14:textId="578EB19B" w:rsidR="00D0398B" w:rsidRDefault="00C6369A" w:rsidP="00D03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369A">
        <w:rPr>
          <w:rFonts w:ascii="Times New Roman" w:hAnsi="Times New Roman" w:cs="Times New Roman"/>
          <w:sz w:val="24"/>
          <w:szCs w:val="24"/>
        </w:rPr>
        <w:t xml:space="preserve">On </w:t>
      </w:r>
      <w:r w:rsidR="00D0398B">
        <w:rPr>
          <w:rFonts w:ascii="Times New Roman" w:hAnsi="Times New Roman" w:cs="Times New Roman"/>
          <w:sz w:val="24"/>
          <w:szCs w:val="24"/>
        </w:rPr>
        <w:t>April</w:t>
      </w:r>
      <w:r w:rsidR="00EC0AAD">
        <w:rPr>
          <w:rFonts w:ascii="Times New Roman" w:hAnsi="Times New Roman" w:cs="Times New Roman"/>
          <w:sz w:val="24"/>
          <w:szCs w:val="24"/>
        </w:rPr>
        <w:t xml:space="preserve"> </w:t>
      </w:r>
      <w:r w:rsidR="00D0398B">
        <w:rPr>
          <w:rFonts w:ascii="Times New Roman" w:hAnsi="Times New Roman" w:cs="Times New Roman"/>
          <w:sz w:val="24"/>
          <w:szCs w:val="24"/>
        </w:rPr>
        <w:t>14</w:t>
      </w:r>
      <w:r w:rsidR="00F853CB">
        <w:rPr>
          <w:rFonts w:ascii="Times New Roman" w:hAnsi="Times New Roman" w:cs="Times New Roman"/>
          <w:sz w:val="24"/>
          <w:szCs w:val="24"/>
        </w:rPr>
        <w:t>, 2020</w:t>
      </w:r>
      <w:r w:rsidR="00E22402">
        <w:rPr>
          <w:rFonts w:ascii="Times New Roman" w:hAnsi="Times New Roman" w:cs="Times New Roman"/>
          <w:sz w:val="24"/>
          <w:szCs w:val="24"/>
        </w:rPr>
        <w:t xml:space="preserve">, </w:t>
      </w:r>
      <w:r w:rsidR="00D0398B">
        <w:rPr>
          <w:rFonts w:ascii="Times New Roman" w:hAnsi="Times New Roman" w:cs="Times New Roman"/>
          <w:sz w:val="24"/>
          <w:szCs w:val="24"/>
        </w:rPr>
        <w:t>AEP Texas</w:t>
      </w:r>
      <w:r w:rsidR="00830029">
        <w:rPr>
          <w:rFonts w:ascii="Times New Roman" w:hAnsi="Times New Roman" w:cs="Times New Roman"/>
          <w:sz w:val="24"/>
          <w:szCs w:val="24"/>
        </w:rPr>
        <w:t xml:space="preserve"> </w:t>
      </w:r>
      <w:r w:rsidR="00D0398B">
        <w:rPr>
          <w:rFonts w:ascii="Times New Roman" w:hAnsi="Times New Roman" w:cs="Times New Roman"/>
          <w:sz w:val="24"/>
          <w:szCs w:val="24"/>
        </w:rPr>
        <w:t>(AEP)</w:t>
      </w:r>
      <w:r w:rsidR="00D0398B" w:rsidRPr="00D0398B">
        <w:rPr>
          <w:rFonts w:ascii="Times New Roman" w:hAnsi="Times New Roman" w:cs="Times New Roman"/>
          <w:sz w:val="24"/>
          <w:szCs w:val="24"/>
        </w:rPr>
        <w:t xml:space="preserve"> filed </w:t>
      </w:r>
      <w:bookmarkStart w:id="2" w:name="_Hlk38462319"/>
      <w:r w:rsidR="00D0398B" w:rsidRPr="00D0398B">
        <w:rPr>
          <w:rFonts w:ascii="Times New Roman" w:hAnsi="Times New Roman" w:cs="Times New Roman"/>
          <w:sz w:val="24"/>
          <w:szCs w:val="24"/>
        </w:rPr>
        <w:t xml:space="preserve">an application for an </w:t>
      </w:r>
      <w:r w:rsidR="00D0398B">
        <w:rPr>
          <w:rFonts w:ascii="Times New Roman" w:hAnsi="Times New Roman" w:cs="Times New Roman"/>
          <w:sz w:val="24"/>
          <w:szCs w:val="24"/>
        </w:rPr>
        <w:t xml:space="preserve">interim </w:t>
      </w:r>
      <w:r w:rsidR="00D0398B" w:rsidRPr="00D0398B">
        <w:rPr>
          <w:rFonts w:ascii="Times New Roman" w:hAnsi="Times New Roman" w:cs="Times New Roman"/>
          <w:sz w:val="24"/>
          <w:szCs w:val="24"/>
        </w:rPr>
        <w:t>true-up of its Section 6.1.1.2.3.1 — Initial/Adjusted Transition Charge-3 Rates — Rider TC</w:t>
      </w:r>
      <w:r w:rsidR="00226BBC">
        <w:rPr>
          <w:rFonts w:ascii="Times New Roman" w:hAnsi="Times New Roman" w:cs="Times New Roman"/>
          <w:sz w:val="24"/>
          <w:szCs w:val="24"/>
        </w:rPr>
        <w:t>-</w:t>
      </w:r>
      <w:r w:rsidR="00D0398B" w:rsidRPr="00D0398B">
        <w:rPr>
          <w:rFonts w:ascii="Times New Roman" w:hAnsi="Times New Roman" w:cs="Times New Roman"/>
          <w:sz w:val="24"/>
          <w:szCs w:val="24"/>
        </w:rPr>
        <w:t>3 (Rider TC-3)</w:t>
      </w:r>
      <w:bookmarkEnd w:id="2"/>
      <w:r w:rsidR="00D0398B" w:rsidRPr="00D0398B">
        <w:rPr>
          <w:rFonts w:ascii="Times New Roman" w:hAnsi="Times New Roman" w:cs="Times New Roman"/>
          <w:sz w:val="24"/>
          <w:szCs w:val="24"/>
        </w:rPr>
        <w:t>.</w:t>
      </w:r>
      <w:r w:rsidR="00D0398B">
        <w:rPr>
          <w:rFonts w:ascii="Times New Roman" w:hAnsi="Times New Roman" w:cs="Times New Roman"/>
          <w:sz w:val="24"/>
          <w:szCs w:val="24"/>
        </w:rPr>
        <w:t xml:space="preserve">  </w:t>
      </w:r>
      <w:r w:rsidR="00D0398B" w:rsidRPr="00D0398B">
        <w:rPr>
          <w:rFonts w:ascii="Times New Roman" w:hAnsi="Times New Roman" w:cs="Times New Roman"/>
          <w:sz w:val="24"/>
          <w:szCs w:val="24"/>
        </w:rPr>
        <w:t xml:space="preserve">AEP was authorized to collect these </w:t>
      </w:r>
      <w:proofErr w:type="spellStart"/>
      <w:r w:rsidR="00D0398B" w:rsidRPr="00D0398B">
        <w:rPr>
          <w:rFonts w:ascii="Times New Roman" w:hAnsi="Times New Roman" w:cs="Times New Roman"/>
          <w:sz w:val="24"/>
          <w:szCs w:val="24"/>
        </w:rPr>
        <w:t>nonbypassable</w:t>
      </w:r>
      <w:proofErr w:type="spellEnd"/>
      <w:r w:rsidR="00D0398B" w:rsidRPr="00D0398B">
        <w:rPr>
          <w:rFonts w:ascii="Times New Roman" w:hAnsi="Times New Roman" w:cs="Times New Roman"/>
          <w:sz w:val="24"/>
          <w:szCs w:val="24"/>
        </w:rPr>
        <w:t xml:space="preserve"> Transition Charges to</w:t>
      </w:r>
      <w:r w:rsidR="00D0398B">
        <w:rPr>
          <w:rFonts w:ascii="Times New Roman" w:hAnsi="Times New Roman" w:cs="Times New Roman"/>
          <w:sz w:val="24"/>
          <w:szCs w:val="24"/>
        </w:rPr>
        <w:t xml:space="preserve"> </w:t>
      </w:r>
      <w:r w:rsidR="00D0398B" w:rsidRPr="00D0398B">
        <w:rPr>
          <w:rFonts w:ascii="Times New Roman" w:hAnsi="Times New Roman" w:cs="Times New Roman"/>
          <w:sz w:val="24"/>
          <w:szCs w:val="24"/>
        </w:rPr>
        <w:t>recover the securitized stranded costs, and other qualified costs under the Financing Order</w:t>
      </w:r>
      <w:r w:rsidR="00D0398B">
        <w:rPr>
          <w:rFonts w:ascii="Times New Roman" w:hAnsi="Times New Roman" w:cs="Times New Roman"/>
          <w:sz w:val="24"/>
          <w:szCs w:val="24"/>
        </w:rPr>
        <w:t xml:space="preserve"> </w:t>
      </w:r>
      <w:r w:rsidR="00D0398B" w:rsidRPr="00D0398B">
        <w:rPr>
          <w:rFonts w:ascii="Times New Roman" w:hAnsi="Times New Roman" w:cs="Times New Roman"/>
          <w:sz w:val="24"/>
          <w:szCs w:val="24"/>
        </w:rPr>
        <w:t xml:space="preserve">in Docket No </w:t>
      </w:r>
      <w:bookmarkStart w:id="3" w:name="_Hlk38462361"/>
      <w:r w:rsidR="00D0398B" w:rsidRPr="00D0398B">
        <w:rPr>
          <w:rFonts w:ascii="Times New Roman" w:hAnsi="Times New Roman" w:cs="Times New Roman"/>
          <w:sz w:val="24"/>
          <w:szCs w:val="24"/>
        </w:rPr>
        <w:t>39931</w:t>
      </w:r>
      <w:r w:rsidR="003432BF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3432BF">
        <w:rPr>
          <w:rFonts w:ascii="Times New Roman" w:hAnsi="Times New Roman" w:cs="Times New Roman"/>
          <w:sz w:val="24"/>
          <w:szCs w:val="24"/>
        </w:rPr>
        <w:t>(Financing Order)</w:t>
      </w:r>
      <w:r w:rsidR="00D0398B" w:rsidRPr="00D0398B">
        <w:rPr>
          <w:rFonts w:ascii="Times New Roman" w:hAnsi="Times New Roman" w:cs="Times New Roman"/>
          <w:sz w:val="24"/>
          <w:szCs w:val="24"/>
        </w:rPr>
        <w:t>.</w:t>
      </w:r>
      <w:r w:rsidR="00D0398B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D0398B" w:rsidRPr="00D0398B">
        <w:rPr>
          <w:rFonts w:ascii="Times New Roman" w:hAnsi="Times New Roman" w:cs="Times New Roman"/>
          <w:sz w:val="24"/>
          <w:szCs w:val="24"/>
        </w:rPr>
        <w:t xml:space="preserve"> </w:t>
      </w:r>
      <w:r w:rsidR="00D0398B">
        <w:rPr>
          <w:rFonts w:ascii="Times New Roman" w:hAnsi="Times New Roman" w:cs="Times New Roman"/>
          <w:sz w:val="24"/>
          <w:szCs w:val="24"/>
        </w:rPr>
        <w:t xml:space="preserve"> </w:t>
      </w:r>
      <w:r w:rsidR="003432BF">
        <w:rPr>
          <w:rFonts w:ascii="Times New Roman" w:hAnsi="Times New Roman" w:cs="Times New Roman"/>
          <w:sz w:val="24"/>
          <w:szCs w:val="24"/>
        </w:rPr>
        <w:t xml:space="preserve">The Financing Order requires AEP to make a mandatory interim true-up adjustment if the forecasted collections </w:t>
      </w:r>
      <w:r w:rsidR="002C6E96">
        <w:rPr>
          <w:rFonts w:ascii="Times New Roman" w:hAnsi="Times New Roman" w:cs="Times New Roman"/>
          <w:sz w:val="24"/>
          <w:szCs w:val="24"/>
        </w:rPr>
        <w:t>are</w:t>
      </w:r>
      <w:r w:rsidR="003432BF">
        <w:rPr>
          <w:rFonts w:ascii="Times New Roman" w:hAnsi="Times New Roman" w:cs="Times New Roman"/>
          <w:sz w:val="24"/>
          <w:szCs w:val="24"/>
        </w:rPr>
        <w:t xml:space="preserve"> insufficient to make all scheduled payments under the order.</w:t>
      </w:r>
      <w:r w:rsidR="003432BF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3432B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04B0D8" w14:textId="77777777" w:rsidR="00D0398B" w:rsidRPr="00D0398B" w:rsidRDefault="00D0398B" w:rsidP="00D03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8DB36" w14:textId="0F37505C" w:rsidR="00D0398B" w:rsidRDefault="00D0398B" w:rsidP="00EE6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98B">
        <w:rPr>
          <w:rFonts w:ascii="Times New Roman" w:hAnsi="Times New Roman" w:cs="Times New Roman"/>
          <w:sz w:val="24"/>
          <w:szCs w:val="24"/>
        </w:rPr>
        <w:t>AEP</w:t>
      </w:r>
      <w:r w:rsidR="003432BF">
        <w:rPr>
          <w:rFonts w:ascii="Times New Roman" w:hAnsi="Times New Roman" w:cs="Times New Roman"/>
          <w:sz w:val="24"/>
          <w:szCs w:val="24"/>
        </w:rPr>
        <w:t>’s filing indicates</w:t>
      </w:r>
      <w:r w:rsidRPr="00D0398B">
        <w:rPr>
          <w:rFonts w:ascii="Times New Roman" w:hAnsi="Times New Roman" w:cs="Times New Roman"/>
          <w:sz w:val="24"/>
          <w:szCs w:val="24"/>
        </w:rPr>
        <w:t xml:space="preserve"> </w:t>
      </w:r>
      <w:r w:rsidR="003432BF">
        <w:rPr>
          <w:rFonts w:ascii="Times New Roman" w:hAnsi="Times New Roman" w:cs="Times New Roman"/>
          <w:sz w:val="24"/>
          <w:szCs w:val="24"/>
        </w:rPr>
        <w:t xml:space="preserve">that, absent revision of the TC-3 rates in this proceeding, a projected under-collection of </w:t>
      </w:r>
      <w:r w:rsidRPr="00D0398B">
        <w:rPr>
          <w:rFonts w:ascii="Times New Roman" w:hAnsi="Times New Roman" w:cs="Times New Roman"/>
          <w:sz w:val="24"/>
          <w:szCs w:val="24"/>
        </w:rPr>
        <w:t xml:space="preserve">TC-3 charges </w:t>
      </w:r>
      <w:r w:rsidR="003432BF">
        <w:rPr>
          <w:rFonts w:ascii="Times New Roman" w:hAnsi="Times New Roman" w:cs="Times New Roman"/>
          <w:sz w:val="24"/>
          <w:szCs w:val="24"/>
        </w:rPr>
        <w:t>in the amount</w:t>
      </w:r>
      <w:r w:rsidRPr="00D0398B">
        <w:rPr>
          <w:rFonts w:ascii="Times New Roman" w:hAnsi="Times New Roman" w:cs="Times New Roman"/>
          <w:sz w:val="24"/>
          <w:szCs w:val="24"/>
        </w:rPr>
        <w:t xml:space="preserve"> $</w:t>
      </w:r>
      <w:r w:rsidR="003432BF">
        <w:rPr>
          <w:rFonts w:ascii="Times New Roman" w:hAnsi="Times New Roman" w:cs="Times New Roman"/>
          <w:sz w:val="24"/>
          <w:szCs w:val="24"/>
        </w:rPr>
        <w:t>937,022</w:t>
      </w:r>
      <w:r w:rsidRPr="00D0398B">
        <w:rPr>
          <w:rFonts w:ascii="Times New Roman" w:hAnsi="Times New Roman" w:cs="Times New Roman"/>
          <w:sz w:val="24"/>
          <w:szCs w:val="24"/>
        </w:rPr>
        <w:t xml:space="preserve"> </w:t>
      </w:r>
      <w:r w:rsidR="00EE659E">
        <w:rPr>
          <w:rFonts w:ascii="Times New Roman" w:hAnsi="Times New Roman" w:cs="Times New Roman"/>
          <w:sz w:val="24"/>
          <w:szCs w:val="24"/>
        </w:rPr>
        <w:t>will accrue as of the June 1, 2020 expected bond payment date.  In accord with the Financing Order,</w:t>
      </w:r>
      <w:r w:rsidR="00EE659E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="00EE659E">
        <w:rPr>
          <w:rFonts w:ascii="Times New Roman" w:hAnsi="Times New Roman" w:cs="Times New Roman"/>
          <w:sz w:val="24"/>
          <w:szCs w:val="24"/>
        </w:rPr>
        <w:t xml:space="preserve"> AEP has calculated its proposed TC-3 rates consistent with the standard annual true-up methodology, applying the projected under-recovery to the periodic billing requirement to calculate new TC-3 rates.</w:t>
      </w:r>
    </w:p>
    <w:p w14:paraId="4D370245" w14:textId="77777777" w:rsidR="00D0398B" w:rsidRDefault="00D0398B" w:rsidP="00D03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D25A71" w14:textId="223E6D24" w:rsidR="00D0398B" w:rsidRDefault="00D0398B" w:rsidP="00D039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98B">
        <w:rPr>
          <w:rFonts w:ascii="Times New Roman" w:hAnsi="Times New Roman" w:cs="Times New Roman"/>
          <w:sz w:val="24"/>
          <w:szCs w:val="24"/>
        </w:rPr>
        <w:t>I have reviewed AEP</w:t>
      </w:r>
      <w:r w:rsidR="00FA13D1">
        <w:rPr>
          <w:rFonts w:ascii="Times New Roman" w:hAnsi="Times New Roman" w:cs="Times New Roman"/>
          <w:sz w:val="24"/>
          <w:szCs w:val="24"/>
        </w:rPr>
        <w:t>’</w:t>
      </w:r>
      <w:r w:rsidRPr="00D0398B">
        <w:rPr>
          <w:rFonts w:ascii="Times New Roman" w:hAnsi="Times New Roman" w:cs="Times New Roman"/>
          <w:sz w:val="24"/>
          <w:szCs w:val="24"/>
        </w:rPr>
        <w:t xml:space="preserve">s filing and determined that the </w:t>
      </w:r>
      <w:r w:rsidR="007E3418">
        <w:rPr>
          <w:rFonts w:ascii="Times New Roman" w:hAnsi="Times New Roman" w:cs="Times New Roman"/>
          <w:sz w:val="24"/>
          <w:szCs w:val="24"/>
        </w:rPr>
        <w:t xml:space="preserve">requested </w:t>
      </w:r>
      <w:r w:rsidRPr="00D0398B">
        <w:rPr>
          <w:rFonts w:ascii="Times New Roman" w:hAnsi="Times New Roman" w:cs="Times New Roman"/>
          <w:sz w:val="24"/>
          <w:szCs w:val="24"/>
        </w:rPr>
        <w:t>adjustments to Rider TC-3,</w:t>
      </w:r>
      <w:r w:rsidR="00EE659E">
        <w:rPr>
          <w:rFonts w:ascii="Times New Roman" w:hAnsi="Times New Roman" w:cs="Times New Roman"/>
          <w:sz w:val="24"/>
          <w:szCs w:val="24"/>
        </w:rPr>
        <w:t xml:space="preserve"> </w:t>
      </w:r>
      <w:r w:rsidRPr="00D0398B">
        <w:rPr>
          <w:rFonts w:ascii="Times New Roman" w:hAnsi="Times New Roman" w:cs="Times New Roman"/>
          <w:sz w:val="24"/>
          <w:szCs w:val="24"/>
        </w:rPr>
        <w:t xml:space="preserve">as shown in Attachment </w:t>
      </w:r>
      <w:r w:rsidR="00EE659E">
        <w:rPr>
          <w:rFonts w:ascii="Times New Roman" w:hAnsi="Times New Roman" w:cs="Times New Roman"/>
          <w:sz w:val="24"/>
          <w:szCs w:val="24"/>
        </w:rPr>
        <w:t>1</w:t>
      </w:r>
      <w:r w:rsidRPr="00D0398B">
        <w:rPr>
          <w:rFonts w:ascii="Times New Roman" w:hAnsi="Times New Roman" w:cs="Times New Roman"/>
          <w:sz w:val="24"/>
          <w:szCs w:val="24"/>
        </w:rPr>
        <w:t xml:space="preserve"> to the filing, are appropriate</w:t>
      </w:r>
      <w:r w:rsidR="00EE659E">
        <w:rPr>
          <w:rFonts w:ascii="Times New Roman" w:hAnsi="Times New Roman" w:cs="Times New Roman"/>
          <w:sz w:val="24"/>
          <w:szCs w:val="24"/>
        </w:rPr>
        <w:t xml:space="preserve">.  </w:t>
      </w:r>
      <w:r w:rsidRPr="00D0398B">
        <w:rPr>
          <w:rFonts w:ascii="Times New Roman" w:hAnsi="Times New Roman" w:cs="Times New Roman"/>
          <w:sz w:val="24"/>
          <w:szCs w:val="24"/>
        </w:rPr>
        <w:t xml:space="preserve">Accordingly, I recommend that </w:t>
      </w:r>
      <w:r w:rsidR="002C6E96">
        <w:rPr>
          <w:rFonts w:ascii="Times New Roman" w:hAnsi="Times New Roman" w:cs="Times New Roman"/>
          <w:sz w:val="24"/>
          <w:szCs w:val="24"/>
        </w:rPr>
        <w:t xml:space="preserve">the </w:t>
      </w:r>
      <w:bookmarkStart w:id="5" w:name="_Hlk38463099"/>
      <w:r w:rsidRPr="00D0398B">
        <w:rPr>
          <w:rFonts w:ascii="Times New Roman" w:hAnsi="Times New Roman" w:cs="Times New Roman"/>
          <w:sz w:val="24"/>
          <w:szCs w:val="24"/>
        </w:rPr>
        <w:t>proposed 6.1.1.2.3.1 Initial/Adjusted Transition</w:t>
      </w:r>
      <w:r w:rsidR="00EE659E">
        <w:rPr>
          <w:rFonts w:ascii="Times New Roman" w:hAnsi="Times New Roman" w:cs="Times New Roman"/>
          <w:sz w:val="24"/>
          <w:szCs w:val="24"/>
        </w:rPr>
        <w:t xml:space="preserve"> </w:t>
      </w:r>
      <w:r w:rsidRPr="00D0398B">
        <w:rPr>
          <w:rFonts w:ascii="Times New Roman" w:hAnsi="Times New Roman" w:cs="Times New Roman"/>
          <w:sz w:val="24"/>
          <w:szCs w:val="24"/>
        </w:rPr>
        <w:t xml:space="preserve">Charge-3 Rates — Rider TC-3, </w:t>
      </w:r>
      <w:r w:rsidR="002C6E96">
        <w:rPr>
          <w:rFonts w:ascii="Times New Roman" w:hAnsi="Times New Roman" w:cs="Times New Roman"/>
          <w:sz w:val="24"/>
          <w:szCs w:val="24"/>
        </w:rPr>
        <w:t>Tenth</w:t>
      </w:r>
      <w:r w:rsidRPr="00D0398B">
        <w:rPr>
          <w:rFonts w:ascii="Times New Roman" w:hAnsi="Times New Roman" w:cs="Times New Roman"/>
          <w:sz w:val="24"/>
          <w:szCs w:val="24"/>
        </w:rPr>
        <w:t xml:space="preserve"> Revision</w:t>
      </w:r>
      <w:r w:rsidR="002C6E96">
        <w:rPr>
          <w:rFonts w:ascii="Times New Roman" w:hAnsi="Times New Roman" w:cs="Times New Roman"/>
          <w:sz w:val="24"/>
          <w:szCs w:val="24"/>
        </w:rPr>
        <w:t>,</w:t>
      </w:r>
      <w:r w:rsidRPr="00D0398B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38463311"/>
      <w:r w:rsidR="007E3418">
        <w:rPr>
          <w:rFonts w:ascii="Times New Roman" w:hAnsi="Times New Roman" w:cs="Times New Roman"/>
          <w:sz w:val="24"/>
          <w:szCs w:val="24"/>
        </w:rPr>
        <w:t xml:space="preserve">Attachment 2 </w:t>
      </w:r>
      <w:bookmarkEnd w:id="6"/>
      <w:r w:rsidR="007E3418">
        <w:rPr>
          <w:rFonts w:ascii="Times New Roman" w:hAnsi="Times New Roman" w:cs="Times New Roman"/>
          <w:sz w:val="24"/>
          <w:szCs w:val="24"/>
        </w:rPr>
        <w:t xml:space="preserve">to the filing, </w:t>
      </w:r>
      <w:r w:rsidRPr="00D0398B">
        <w:rPr>
          <w:rFonts w:ascii="Times New Roman" w:hAnsi="Times New Roman" w:cs="Times New Roman"/>
          <w:sz w:val="24"/>
          <w:szCs w:val="24"/>
        </w:rPr>
        <w:t xml:space="preserve">be approved as filed on </w:t>
      </w:r>
      <w:r w:rsidR="002C6E96">
        <w:rPr>
          <w:rFonts w:ascii="Times New Roman" w:hAnsi="Times New Roman" w:cs="Times New Roman"/>
          <w:sz w:val="24"/>
          <w:szCs w:val="24"/>
        </w:rPr>
        <w:t>April 14</w:t>
      </w:r>
      <w:r w:rsidRPr="00D0398B">
        <w:rPr>
          <w:rFonts w:ascii="Times New Roman" w:hAnsi="Times New Roman" w:cs="Times New Roman"/>
          <w:sz w:val="24"/>
          <w:szCs w:val="24"/>
        </w:rPr>
        <w:t>, 2020</w:t>
      </w:r>
      <w:r w:rsidR="002C6E96">
        <w:rPr>
          <w:rFonts w:ascii="Times New Roman" w:hAnsi="Times New Roman" w:cs="Times New Roman"/>
          <w:sz w:val="24"/>
          <w:szCs w:val="24"/>
        </w:rPr>
        <w:t xml:space="preserve"> with an effective date of April 29, 2020</w:t>
      </w:r>
      <w:r w:rsidRPr="00D0398B">
        <w:rPr>
          <w:rFonts w:ascii="Times New Roman" w:hAnsi="Times New Roman" w:cs="Times New Roman"/>
          <w:sz w:val="24"/>
          <w:szCs w:val="24"/>
        </w:rPr>
        <w:t>.</w:t>
      </w:r>
      <w:r w:rsidR="00EE659E">
        <w:rPr>
          <w:rFonts w:ascii="Times New Roman" w:hAnsi="Times New Roman" w:cs="Times New Roman"/>
          <w:sz w:val="24"/>
          <w:szCs w:val="24"/>
        </w:rPr>
        <w:t xml:space="preserve">  </w:t>
      </w:r>
      <w:r w:rsidRPr="00D0398B">
        <w:rPr>
          <w:rFonts w:ascii="Times New Roman" w:hAnsi="Times New Roman" w:cs="Times New Roman"/>
          <w:sz w:val="24"/>
          <w:szCs w:val="24"/>
        </w:rPr>
        <w:t xml:space="preserve">I also recommend that AEP be required to file a </w:t>
      </w:r>
      <w:r w:rsidR="00FA13D1">
        <w:rPr>
          <w:rFonts w:ascii="Times New Roman" w:hAnsi="Times New Roman" w:cs="Times New Roman"/>
          <w:sz w:val="24"/>
          <w:szCs w:val="24"/>
        </w:rPr>
        <w:t>“</w:t>
      </w:r>
      <w:r w:rsidRPr="00D0398B">
        <w:rPr>
          <w:rFonts w:ascii="Times New Roman" w:hAnsi="Times New Roman" w:cs="Times New Roman"/>
          <w:sz w:val="24"/>
          <w:szCs w:val="24"/>
        </w:rPr>
        <w:t>clean</w:t>
      </w:r>
      <w:r w:rsidR="00FA13D1">
        <w:rPr>
          <w:rFonts w:ascii="Times New Roman" w:hAnsi="Times New Roman" w:cs="Times New Roman"/>
          <w:sz w:val="24"/>
          <w:szCs w:val="24"/>
        </w:rPr>
        <w:t>”</w:t>
      </w:r>
      <w:r w:rsidRPr="00D0398B">
        <w:rPr>
          <w:rFonts w:ascii="Times New Roman" w:hAnsi="Times New Roman" w:cs="Times New Roman"/>
          <w:sz w:val="24"/>
          <w:szCs w:val="24"/>
        </w:rPr>
        <w:t xml:space="preserve"> copy of 6.1.1.2.3.1 Initial/Adjusted</w:t>
      </w:r>
      <w:r w:rsidR="00EE659E">
        <w:rPr>
          <w:rFonts w:ascii="Times New Roman" w:hAnsi="Times New Roman" w:cs="Times New Roman"/>
          <w:sz w:val="24"/>
          <w:szCs w:val="24"/>
        </w:rPr>
        <w:t xml:space="preserve"> </w:t>
      </w:r>
      <w:r w:rsidRPr="00D0398B">
        <w:rPr>
          <w:rFonts w:ascii="Times New Roman" w:hAnsi="Times New Roman" w:cs="Times New Roman"/>
          <w:sz w:val="24"/>
          <w:szCs w:val="24"/>
        </w:rPr>
        <w:t xml:space="preserve">Transition Charge-3 Rates — Rider TC-3, to be stamped </w:t>
      </w:r>
      <w:r w:rsidR="00FA13D1">
        <w:rPr>
          <w:rFonts w:ascii="Times New Roman" w:hAnsi="Times New Roman" w:cs="Times New Roman"/>
          <w:sz w:val="24"/>
          <w:szCs w:val="24"/>
        </w:rPr>
        <w:t>“</w:t>
      </w:r>
      <w:r w:rsidRPr="00D0398B">
        <w:rPr>
          <w:rFonts w:ascii="Times New Roman" w:hAnsi="Times New Roman" w:cs="Times New Roman"/>
          <w:sz w:val="24"/>
          <w:szCs w:val="24"/>
        </w:rPr>
        <w:t>Approved</w:t>
      </w:r>
      <w:r w:rsidR="00FA13D1">
        <w:rPr>
          <w:rFonts w:ascii="Times New Roman" w:hAnsi="Times New Roman" w:cs="Times New Roman"/>
          <w:sz w:val="24"/>
          <w:szCs w:val="24"/>
        </w:rPr>
        <w:t>”</w:t>
      </w:r>
      <w:r w:rsidRPr="00D0398B">
        <w:rPr>
          <w:rFonts w:ascii="Times New Roman" w:hAnsi="Times New Roman" w:cs="Times New Roman"/>
          <w:sz w:val="24"/>
          <w:szCs w:val="24"/>
        </w:rPr>
        <w:t xml:space="preserve"> by the Commission</w:t>
      </w:r>
      <w:r w:rsidR="00FA13D1">
        <w:rPr>
          <w:rFonts w:ascii="Times New Roman" w:hAnsi="Times New Roman" w:cs="Times New Roman"/>
          <w:sz w:val="24"/>
          <w:szCs w:val="24"/>
        </w:rPr>
        <w:t>’</w:t>
      </w:r>
      <w:r w:rsidRPr="00D0398B">
        <w:rPr>
          <w:rFonts w:ascii="Times New Roman" w:hAnsi="Times New Roman" w:cs="Times New Roman"/>
          <w:sz w:val="24"/>
          <w:szCs w:val="24"/>
        </w:rPr>
        <w:t>s</w:t>
      </w:r>
      <w:r w:rsidR="002C6E96">
        <w:rPr>
          <w:rFonts w:ascii="Times New Roman" w:hAnsi="Times New Roman" w:cs="Times New Roman"/>
          <w:sz w:val="24"/>
          <w:szCs w:val="24"/>
        </w:rPr>
        <w:t xml:space="preserve"> </w:t>
      </w:r>
      <w:r w:rsidRPr="00D0398B">
        <w:rPr>
          <w:rFonts w:ascii="Times New Roman" w:hAnsi="Times New Roman" w:cs="Times New Roman"/>
          <w:sz w:val="24"/>
          <w:szCs w:val="24"/>
        </w:rPr>
        <w:t>Central Records Division and retained for future reference.</w:t>
      </w:r>
      <w:bookmarkEnd w:id="5"/>
    </w:p>
    <w:sectPr w:rsidR="00D039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E07DA" w14:textId="77777777" w:rsidR="008C215B" w:rsidRDefault="008C215B" w:rsidP="00097394">
      <w:pPr>
        <w:spacing w:after="0" w:line="240" w:lineRule="auto"/>
      </w:pPr>
      <w:r>
        <w:separator/>
      </w:r>
    </w:p>
  </w:endnote>
  <w:endnote w:type="continuationSeparator" w:id="0">
    <w:p w14:paraId="7D85E834" w14:textId="77777777" w:rsidR="008C215B" w:rsidRDefault="008C215B" w:rsidP="0009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2B423" w14:textId="77777777" w:rsidR="008C215B" w:rsidRDefault="008C215B" w:rsidP="00097394">
      <w:pPr>
        <w:spacing w:after="0" w:line="240" w:lineRule="auto"/>
      </w:pPr>
      <w:r>
        <w:separator/>
      </w:r>
    </w:p>
  </w:footnote>
  <w:footnote w:type="continuationSeparator" w:id="0">
    <w:p w14:paraId="4CA549A3" w14:textId="77777777" w:rsidR="008C215B" w:rsidRDefault="008C215B" w:rsidP="00097394">
      <w:pPr>
        <w:spacing w:after="0" w:line="240" w:lineRule="auto"/>
      </w:pPr>
      <w:r>
        <w:continuationSeparator/>
      </w:r>
    </w:p>
  </w:footnote>
  <w:footnote w:id="1">
    <w:p w14:paraId="3DC55574" w14:textId="65560076" w:rsidR="00D0398B" w:rsidRPr="00FA13D1" w:rsidRDefault="00D0398B" w:rsidP="00FA13D1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FA13D1">
        <w:rPr>
          <w:rStyle w:val="FootnoteReference"/>
          <w:rFonts w:ascii="Times New Roman" w:hAnsi="Times New Roman" w:cs="Times New Roman"/>
        </w:rPr>
        <w:footnoteRef/>
      </w:r>
      <w:r w:rsidRPr="00FA13D1">
        <w:rPr>
          <w:rFonts w:ascii="Times New Roman" w:hAnsi="Times New Roman" w:cs="Times New Roman"/>
        </w:rPr>
        <w:t xml:space="preserve"> </w:t>
      </w:r>
      <w:bookmarkStart w:id="4" w:name="_Hlk38462404"/>
      <w:r w:rsidRPr="00FA13D1">
        <w:rPr>
          <w:rFonts w:ascii="Times New Roman" w:hAnsi="Times New Roman" w:cs="Times New Roman"/>
          <w:i/>
          <w:iCs/>
        </w:rPr>
        <w:t>Application of AEP Texas Central Company for a Financing Order</w:t>
      </w:r>
      <w:r w:rsidRPr="00FA13D1">
        <w:rPr>
          <w:rFonts w:ascii="Times New Roman" w:hAnsi="Times New Roman" w:cs="Times New Roman"/>
        </w:rPr>
        <w:t>, Docket No. 39931, Financing Order</w:t>
      </w:r>
      <w:r w:rsidR="003432BF" w:rsidRPr="00FA13D1">
        <w:rPr>
          <w:rFonts w:ascii="Times New Roman" w:hAnsi="Times New Roman" w:cs="Times New Roman"/>
        </w:rPr>
        <w:t xml:space="preserve"> </w:t>
      </w:r>
      <w:r w:rsidRPr="00FA13D1">
        <w:rPr>
          <w:rFonts w:ascii="Times New Roman" w:hAnsi="Times New Roman" w:cs="Times New Roman"/>
        </w:rPr>
        <w:t>(Jan. 12, 2012).</w:t>
      </w:r>
      <w:bookmarkEnd w:id="4"/>
    </w:p>
  </w:footnote>
  <w:footnote w:id="2">
    <w:p w14:paraId="461C7940" w14:textId="7D0C6B76" w:rsidR="003432BF" w:rsidRPr="00FA13D1" w:rsidRDefault="003432BF" w:rsidP="00FA13D1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FA13D1">
        <w:rPr>
          <w:rStyle w:val="FootnoteReference"/>
          <w:rFonts w:ascii="Times New Roman" w:hAnsi="Times New Roman" w:cs="Times New Roman"/>
        </w:rPr>
        <w:footnoteRef/>
      </w:r>
      <w:r w:rsidRPr="00FA13D1">
        <w:rPr>
          <w:rFonts w:ascii="Times New Roman" w:hAnsi="Times New Roman" w:cs="Times New Roman"/>
        </w:rPr>
        <w:t xml:space="preserve"> </w:t>
      </w:r>
      <w:r w:rsidRPr="00FA13D1">
        <w:rPr>
          <w:rFonts w:ascii="Times New Roman" w:hAnsi="Times New Roman" w:cs="Times New Roman"/>
          <w:i/>
          <w:iCs/>
        </w:rPr>
        <w:t>Id.</w:t>
      </w:r>
      <w:r w:rsidRPr="00FA13D1">
        <w:rPr>
          <w:rFonts w:ascii="Times New Roman" w:hAnsi="Times New Roman" w:cs="Times New Roman"/>
        </w:rPr>
        <w:t xml:space="preserve"> at Finding of Fact 84.</w:t>
      </w:r>
    </w:p>
  </w:footnote>
  <w:footnote w:id="3">
    <w:p w14:paraId="2386BBD6" w14:textId="77777777" w:rsidR="00EE659E" w:rsidRPr="00A063AD" w:rsidRDefault="00EE659E" w:rsidP="00A063AD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A063AD">
        <w:rPr>
          <w:rStyle w:val="FootnoteReference"/>
          <w:rFonts w:ascii="Times New Roman" w:hAnsi="Times New Roman" w:cs="Times New Roman"/>
        </w:rPr>
        <w:footnoteRef/>
      </w:r>
      <w:r w:rsidRPr="00A063AD">
        <w:rPr>
          <w:rFonts w:ascii="Times New Roman" w:hAnsi="Times New Roman" w:cs="Times New Roman"/>
        </w:rPr>
        <w:t xml:space="preserve"> </w:t>
      </w:r>
      <w:r w:rsidRPr="00FA13D1">
        <w:rPr>
          <w:rFonts w:ascii="Times New Roman" w:hAnsi="Times New Roman" w:cs="Times New Roman"/>
          <w:i/>
          <w:iCs/>
        </w:rPr>
        <w:t>Id.</w:t>
      </w:r>
      <w:r w:rsidRPr="00FA13D1">
        <w:rPr>
          <w:rFonts w:ascii="Times New Roman" w:hAnsi="Times New Roman" w:cs="Times New Roman"/>
        </w:rPr>
        <w:t xml:space="preserve"> at Finding of Facts 82 and 85.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442E3"/>
    <w:multiLevelType w:val="hybridMultilevel"/>
    <w:tmpl w:val="FEB64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C6"/>
    <w:rsid w:val="000004F5"/>
    <w:rsid w:val="000059C5"/>
    <w:rsid w:val="00007063"/>
    <w:rsid w:val="0001087E"/>
    <w:rsid w:val="0001466D"/>
    <w:rsid w:val="000200EB"/>
    <w:rsid w:val="0002186D"/>
    <w:rsid w:val="00021CC4"/>
    <w:rsid w:val="00032D65"/>
    <w:rsid w:val="0003590F"/>
    <w:rsid w:val="00036D83"/>
    <w:rsid w:val="0004031C"/>
    <w:rsid w:val="00040DC6"/>
    <w:rsid w:val="00041427"/>
    <w:rsid w:val="000425F4"/>
    <w:rsid w:val="00044EA2"/>
    <w:rsid w:val="00046F56"/>
    <w:rsid w:val="0005116B"/>
    <w:rsid w:val="000523A7"/>
    <w:rsid w:val="00056A5C"/>
    <w:rsid w:val="00057E71"/>
    <w:rsid w:val="00067E4B"/>
    <w:rsid w:val="0007063F"/>
    <w:rsid w:val="00070A0D"/>
    <w:rsid w:val="0007165C"/>
    <w:rsid w:val="00074B66"/>
    <w:rsid w:val="00080025"/>
    <w:rsid w:val="00094186"/>
    <w:rsid w:val="00096900"/>
    <w:rsid w:val="00097394"/>
    <w:rsid w:val="000A0A32"/>
    <w:rsid w:val="000A1196"/>
    <w:rsid w:val="000A250B"/>
    <w:rsid w:val="000A50D0"/>
    <w:rsid w:val="000C0BC9"/>
    <w:rsid w:val="000C5518"/>
    <w:rsid w:val="000D07EB"/>
    <w:rsid w:val="000D5572"/>
    <w:rsid w:val="000E40DE"/>
    <w:rsid w:val="000E4A5D"/>
    <w:rsid w:val="000F133B"/>
    <w:rsid w:val="000F2430"/>
    <w:rsid w:val="000F56BA"/>
    <w:rsid w:val="00104E20"/>
    <w:rsid w:val="0010540B"/>
    <w:rsid w:val="00117DC6"/>
    <w:rsid w:val="00126FF1"/>
    <w:rsid w:val="00131CAF"/>
    <w:rsid w:val="001321F2"/>
    <w:rsid w:val="00133692"/>
    <w:rsid w:val="0013696E"/>
    <w:rsid w:val="001403A2"/>
    <w:rsid w:val="00142D42"/>
    <w:rsid w:val="00144E7C"/>
    <w:rsid w:val="001514DD"/>
    <w:rsid w:val="00151C0E"/>
    <w:rsid w:val="0015360E"/>
    <w:rsid w:val="00164476"/>
    <w:rsid w:val="001670AD"/>
    <w:rsid w:val="00170D0C"/>
    <w:rsid w:val="00174A9A"/>
    <w:rsid w:val="00175FD0"/>
    <w:rsid w:val="001760D1"/>
    <w:rsid w:val="00177D20"/>
    <w:rsid w:val="0018545E"/>
    <w:rsid w:val="00186EC6"/>
    <w:rsid w:val="00195713"/>
    <w:rsid w:val="001A635A"/>
    <w:rsid w:val="001A742C"/>
    <w:rsid w:val="001B3897"/>
    <w:rsid w:val="001B58B0"/>
    <w:rsid w:val="001B75DF"/>
    <w:rsid w:val="001C30D3"/>
    <w:rsid w:val="001C7520"/>
    <w:rsid w:val="001D0A1F"/>
    <w:rsid w:val="001D46B3"/>
    <w:rsid w:val="001D733B"/>
    <w:rsid w:val="001D77A6"/>
    <w:rsid w:val="001E4235"/>
    <w:rsid w:val="00201BD9"/>
    <w:rsid w:val="0021117A"/>
    <w:rsid w:val="002169B3"/>
    <w:rsid w:val="002177A3"/>
    <w:rsid w:val="002233A6"/>
    <w:rsid w:val="00225D06"/>
    <w:rsid w:val="00226BBC"/>
    <w:rsid w:val="00230079"/>
    <w:rsid w:val="002415B7"/>
    <w:rsid w:val="00253758"/>
    <w:rsid w:val="002628CC"/>
    <w:rsid w:val="00263E85"/>
    <w:rsid w:val="0027193C"/>
    <w:rsid w:val="00273E3E"/>
    <w:rsid w:val="00277E68"/>
    <w:rsid w:val="0028475E"/>
    <w:rsid w:val="00285026"/>
    <w:rsid w:val="0028510E"/>
    <w:rsid w:val="0028745F"/>
    <w:rsid w:val="002A5530"/>
    <w:rsid w:val="002A68F0"/>
    <w:rsid w:val="002B2D93"/>
    <w:rsid w:val="002B428B"/>
    <w:rsid w:val="002B70FC"/>
    <w:rsid w:val="002B7C1F"/>
    <w:rsid w:val="002C1E06"/>
    <w:rsid w:val="002C6E96"/>
    <w:rsid w:val="002C6EC0"/>
    <w:rsid w:val="002D0D12"/>
    <w:rsid w:val="002D29D2"/>
    <w:rsid w:val="002D2B43"/>
    <w:rsid w:val="002E0D99"/>
    <w:rsid w:val="002E33E1"/>
    <w:rsid w:val="002E4946"/>
    <w:rsid w:val="002E4B55"/>
    <w:rsid w:val="002E7C81"/>
    <w:rsid w:val="002F6928"/>
    <w:rsid w:val="00300D99"/>
    <w:rsid w:val="00302338"/>
    <w:rsid w:val="00303843"/>
    <w:rsid w:val="0030719D"/>
    <w:rsid w:val="003127A3"/>
    <w:rsid w:val="003175C9"/>
    <w:rsid w:val="00322F38"/>
    <w:rsid w:val="0032609E"/>
    <w:rsid w:val="00327647"/>
    <w:rsid w:val="00331D3B"/>
    <w:rsid w:val="00342622"/>
    <w:rsid w:val="00342D53"/>
    <w:rsid w:val="003432BF"/>
    <w:rsid w:val="0034506E"/>
    <w:rsid w:val="00350877"/>
    <w:rsid w:val="00351437"/>
    <w:rsid w:val="003523FC"/>
    <w:rsid w:val="00352E31"/>
    <w:rsid w:val="0035475B"/>
    <w:rsid w:val="00356CD3"/>
    <w:rsid w:val="00361770"/>
    <w:rsid w:val="003629DD"/>
    <w:rsid w:val="00365ACF"/>
    <w:rsid w:val="0037219E"/>
    <w:rsid w:val="0037758B"/>
    <w:rsid w:val="00381CD4"/>
    <w:rsid w:val="00387590"/>
    <w:rsid w:val="003A097D"/>
    <w:rsid w:val="003A194E"/>
    <w:rsid w:val="003A25A5"/>
    <w:rsid w:val="003B1C33"/>
    <w:rsid w:val="003B3CC4"/>
    <w:rsid w:val="003B4821"/>
    <w:rsid w:val="003B515A"/>
    <w:rsid w:val="003B61FD"/>
    <w:rsid w:val="003C73E8"/>
    <w:rsid w:val="003D1DDF"/>
    <w:rsid w:val="003D2F04"/>
    <w:rsid w:val="003E7FE4"/>
    <w:rsid w:val="003F61F8"/>
    <w:rsid w:val="003F7FAD"/>
    <w:rsid w:val="00407861"/>
    <w:rsid w:val="004115C9"/>
    <w:rsid w:val="0041254C"/>
    <w:rsid w:val="00414651"/>
    <w:rsid w:val="0041520B"/>
    <w:rsid w:val="00417C6D"/>
    <w:rsid w:val="00421562"/>
    <w:rsid w:val="00425365"/>
    <w:rsid w:val="00433A09"/>
    <w:rsid w:val="00435D3B"/>
    <w:rsid w:val="00436242"/>
    <w:rsid w:val="00436435"/>
    <w:rsid w:val="00436CE9"/>
    <w:rsid w:val="00436CFB"/>
    <w:rsid w:val="004428F9"/>
    <w:rsid w:val="004461A5"/>
    <w:rsid w:val="0045012D"/>
    <w:rsid w:val="0046014E"/>
    <w:rsid w:val="0046098E"/>
    <w:rsid w:val="00471A15"/>
    <w:rsid w:val="00477800"/>
    <w:rsid w:val="0048697E"/>
    <w:rsid w:val="00487BA2"/>
    <w:rsid w:val="004922FA"/>
    <w:rsid w:val="004978BB"/>
    <w:rsid w:val="004A04D6"/>
    <w:rsid w:val="004C0D00"/>
    <w:rsid w:val="004C7C9D"/>
    <w:rsid w:val="004D30CF"/>
    <w:rsid w:val="004D587D"/>
    <w:rsid w:val="004D72A2"/>
    <w:rsid w:val="004E16DF"/>
    <w:rsid w:val="004E36F4"/>
    <w:rsid w:val="004E3CBA"/>
    <w:rsid w:val="004E4779"/>
    <w:rsid w:val="004F007B"/>
    <w:rsid w:val="004F0738"/>
    <w:rsid w:val="004F2156"/>
    <w:rsid w:val="004F75F5"/>
    <w:rsid w:val="005049CF"/>
    <w:rsid w:val="00507B22"/>
    <w:rsid w:val="0051078E"/>
    <w:rsid w:val="005162CF"/>
    <w:rsid w:val="00521F09"/>
    <w:rsid w:val="00523A2A"/>
    <w:rsid w:val="00530A22"/>
    <w:rsid w:val="005312D8"/>
    <w:rsid w:val="00535FFC"/>
    <w:rsid w:val="0053613E"/>
    <w:rsid w:val="0053626D"/>
    <w:rsid w:val="0054048A"/>
    <w:rsid w:val="00542872"/>
    <w:rsid w:val="005453B8"/>
    <w:rsid w:val="0054603C"/>
    <w:rsid w:val="00546E1F"/>
    <w:rsid w:val="005501B3"/>
    <w:rsid w:val="00557E28"/>
    <w:rsid w:val="00560C25"/>
    <w:rsid w:val="0056203F"/>
    <w:rsid w:val="0056464F"/>
    <w:rsid w:val="0057666A"/>
    <w:rsid w:val="00576FC1"/>
    <w:rsid w:val="00585283"/>
    <w:rsid w:val="00596DF6"/>
    <w:rsid w:val="00597447"/>
    <w:rsid w:val="005A0DCD"/>
    <w:rsid w:val="005A7FEE"/>
    <w:rsid w:val="005C0811"/>
    <w:rsid w:val="005D37AC"/>
    <w:rsid w:val="005D7E5A"/>
    <w:rsid w:val="005E0035"/>
    <w:rsid w:val="005E25E7"/>
    <w:rsid w:val="005E7869"/>
    <w:rsid w:val="005F0F1A"/>
    <w:rsid w:val="005F284A"/>
    <w:rsid w:val="005F2BB8"/>
    <w:rsid w:val="00602A63"/>
    <w:rsid w:val="00606CE9"/>
    <w:rsid w:val="00607822"/>
    <w:rsid w:val="00614AE4"/>
    <w:rsid w:val="00621153"/>
    <w:rsid w:val="0063353B"/>
    <w:rsid w:val="00635F52"/>
    <w:rsid w:val="0064164A"/>
    <w:rsid w:val="006443FA"/>
    <w:rsid w:val="00647297"/>
    <w:rsid w:val="006476DF"/>
    <w:rsid w:val="006549C9"/>
    <w:rsid w:val="00661651"/>
    <w:rsid w:val="00662303"/>
    <w:rsid w:val="00666715"/>
    <w:rsid w:val="00681856"/>
    <w:rsid w:val="0068324D"/>
    <w:rsid w:val="00686E60"/>
    <w:rsid w:val="00686F48"/>
    <w:rsid w:val="00696A2E"/>
    <w:rsid w:val="006A27AE"/>
    <w:rsid w:val="006A7FB1"/>
    <w:rsid w:val="006B4478"/>
    <w:rsid w:val="006C2998"/>
    <w:rsid w:val="006C3C1E"/>
    <w:rsid w:val="006C5731"/>
    <w:rsid w:val="006F2293"/>
    <w:rsid w:val="00704AE9"/>
    <w:rsid w:val="00712296"/>
    <w:rsid w:val="00712E99"/>
    <w:rsid w:val="007218E3"/>
    <w:rsid w:val="00732B6B"/>
    <w:rsid w:val="00733218"/>
    <w:rsid w:val="007421A8"/>
    <w:rsid w:val="007473E9"/>
    <w:rsid w:val="00747EEB"/>
    <w:rsid w:val="007526D3"/>
    <w:rsid w:val="0075291E"/>
    <w:rsid w:val="007726E8"/>
    <w:rsid w:val="00776D68"/>
    <w:rsid w:val="00776FF3"/>
    <w:rsid w:val="00782539"/>
    <w:rsid w:val="00782C38"/>
    <w:rsid w:val="00787B78"/>
    <w:rsid w:val="00787F27"/>
    <w:rsid w:val="007906B1"/>
    <w:rsid w:val="007907C9"/>
    <w:rsid w:val="007B06CF"/>
    <w:rsid w:val="007B0B32"/>
    <w:rsid w:val="007B78B4"/>
    <w:rsid w:val="007C60BE"/>
    <w:rsid w:val="007E176B"/>
    <w:rsid w:val="007E3418"/>
    <w:rsid w:val="007E360D"/>
    <w:rsid w:val="007E59DB"/>
    <w:rsid w:val="007F048E"/>
    <w:rsid w:val="007F2BF4"/>
    <w:rsid w:val="007F3E95"/>
    <w:rsid w:val="007F75B7"/>
    <w:rsid w:val="008018CE"/>
    <w:rsid w:val="00803F63"/>
    <w:rsid w:val="00807706"/>
    <w:rsid w:val="00812AE1"/>
    <w:rsid w:val="00815D5E"/>
    <w:rsid w:val="00826EA2"/>
    <w:rsid w:val="008276E9"/>
    <w:rsid w:val="00830029"/>
    <w:rsid w:val="00830390"/>
    <w:rsid w:val="00841FD6"/>
    <w:rsid w:val="008509C7"/>
    <w:rsid w:val="00857008"/>
    <w:rsid w:val="00861F9A"/>
    <w:rsid w:val="008647A4"/>
    <w:rsid w:val="008753E6"/>
    <w:rsid w:val="00876A6C"/>
    <w:rsid w:val="00877277"/>
    <w:rsid w:val="00892C3B"/>
    <w:rsid w:val="00892F57"/>
    <w:rsid w:val="0089626C"/>
    <w:rsid w:val="00897644"/>
    <w:rsid w:val="008A52A9"/>
    <w:rsid w:val="008B345E"/>
    <w:rsid w:val="008B6FBF"/>
    <w:rsid w:val="008C1149"/>
    <w:rsid w:val="008C215B"/>
    <w:rsid w:val="008D2A09"/>
    <w:rsid w:val="008D3EF9"/>
    <w:rsid w:val="008D454E"/>
    <w:rsid w:val="008D4C80"/>
    <w:rsid w:val="008D58A7"/>
    <w:rsid w:val="008E3632"/>
    <w:rsid w:val="008F1FCE"/>
    <w:rsid w:val="00901CAE"/>
    <w:rsid w:val="00907CF9"/>
    <w:rsid w:val="00910437"/>
    <w:rsid w:val="00912512"/>
    <w:rsid w:val="00921DC3"/>
    <w:rsid w:val="00924CEE"/>
    <w:rsid w:val="00955F36"/>
    <w:rsid w:val="00961B9B"/>
    <w:rsid w:val="00975779"/>
    <w:rsid w:val="00977A17"/>
    <w:rsid w:val="0098424B"/>
    <w:rsid w:val="00994C3D"/>
    <w:rsid w:val="009A096E"/>
    <w:rsid w:val="009A2F7E"/>
    <w:rsid w:val="009A4590"/>
    <w:rsid w:val="009B521D"/>
    <w:rsid w:val="009C1784"/>
    <w:rsid w:val="009C414A"/>
    <w:rsid w:val="009D16CF"/>
    <w:rsid w:val="009D1AB3"/>
    <w:rsid w:val="009D216E"/>
    <w:rsid w:val="009E0F96"/>
    <w:rsid w:val="009E2835"/>
    <w:rsid w:val="009E5B9D"/>
    <w:rsid w:val="009F7CE6"/>
    <w:rsid w:val="00A00A93"/>
    <w:rsid w:val="00A05A8A"/>
    <w:rsid w:val="00A063AD"/>
    <w:rsid w:val="00A13C88"/>
    <w:rsid w:val="00A23FDC"/>
    <w:rsid w:val="00A30AC2"/>
    <w:rsid w:val="00A36D70"/>
    <w:rsid w:val="00A374CE"/>
    <w:rsid w:val="00A40A4C"/>
    <w:rsid w:val="00A46885"/>
    <w:rsid w:val="00A57D08"/>
    <w:rsid w:val="00A67535"/>
    <w:rsid w:val="00A73B47"/>
    <w:rsid w:val="00A7437B"/>
    <w:rsid w:val="00A74D04"/>
    <w:rsid w:val="00A7574B"/>
    <w:rsid w:val="00A8080C"/>
    <w:rsid w:val="00A816C4"/>
    <w:rsid w:val="00A9080C"/>
    <w:rsid w:val="00A92DDD"/>
    <w:rsid w:val="00AA0F8D"/>
    <w:rsid w:val="00AA3C90"/>
    <w:rsid w:val="00AA558C"/>
    <w:rsid w:val="00AB0A1B"/>
    <w:rsid w:val="00AB15E7"/>
    <w:rsid w:val="00AC1162"/>
    <w:rsid w:val="00AC6921"/>
    <w:rsid w:val="00AD182F"/>
    <w:rsid w:val="00AD7037"/>
    <w:rsid w:val="00AE7F4E"/>
    <w:rsid w:val="00AF5E38"/>
    <w:rsid w:val="00AF6924"/>
    <w:rsid w:val="00AF7F0D"/>
    <w:rsid w:val="00B01DDC"/>
    <w:rsid w:val="00B05E87"/>
    <w:rsid w:val="00B06405"/>
    <w:rsid w:val="00B07552"/>
    <w:rsid w:val="00B11C61"/>
    <w:rsid w:val="00B11CA0"/>
    <w:rsid w:val="00B11E8D"/>
    <w:rsid w:val="00B21697"/>
    <w:rsid w:val="00B30E0E"/>
    <w:rsid w:val="00B332EF"/>
    <w:rsid w:val="00B33568"/>
    <w:rsid w:val="00B35384"/>
    <w:rsid w:val="00B43C25"/>
    <w:rsid w:val="00B543A3"/>
    <w:rsid w:val="00B55F6A"/>
    <w:rsid w:val="00B61239"/>
    <w:rsid w:val="00B627C9"/>
    <w:rsid w:val="00B63CE6"/>
    <w:rsid w:val="00B66034"/>
    <w:rsid w:val="00B70A70"/>
    <w:rsid w:val="00B74DA3"/>
    <w:rsid w:val="00B82864"/>
    <w:rsid w:val="00B83F58"/>
    <w:rsid w:val="00B91ABD"/>
    <w:rsid w:val="00B91CAF"/>
    <w:rsid w:val="00B92277"/>
    <w:rsid w:val="00B9307B"/>
    <w:rsid w:val="00B93DD2"/>
    <w:rsid w:val="00B97BB0"/>
    <w:rsid w:val="00BA66A0"/>
    <w:rsid w:val="00BB0D13"/>
    <w:rsid w:val="00BB20FA"/>
    <w:rsid w:val="00BB31DD"/>
    <w:rsid w:val="00BB5C1B"/>
    <w:rsid w:val="00BB6AD6"/>
    <w:rsid w:val="00BC7882"/>
    <w:rsid w:val="00BD07CE"/>
    <w:rsid w:val="00BD08AC"/>
    <w:rsid w:val="00BD2EA7"/>
    <w:rsid w:val="00BD38EC"/>
    <w:rsid w:val="00BD7109"/>
    <w:rsid w:val="00BE18B1"/>
    <w:rsid w:val="00BE3935"/>
    <w:rsid w:val="00C00407"/>
    <w:rsid w:val="00C01D7D"/>
    <w:rsid w:val="00C0294C"/>
    <w:rsid w:val="00C034A4"/>
    <w:rsid w:val="00C05361"/>
    <w:rsid w:val="00C1025B"/>
    <w:rsid w:val="00C13089"/>
    <w:rsid w:val="00C17307"/>
    <w:rsid w:val="00C2639B"/>
    <w:rsid w:val="00C32517"/>
    <w:rsid w:val="00C42876"/>
    <w:rsid w:val="00C43F95"/>
    <w:rsid w:val="00C46CD0"/>
    <w:rsid w:val="00C540A5"/>
    <w:rsid w:val="00C55360"/>
    <w:rsid w:val="00C60CAA"/>
    <w:rsid w:val="00C620DF"/>
    <w:rsid w:val="00C6369A"/>
    <w:rsid w:val="00C63F65"/>
    <w:rsid w:val="00C67D7E"/>
    <w:rsid w:val="00C72093"/>
    <w:rsid w:val="00C7329F"/>
    <w:rsid w:val="00C73469"/>
    <w:rsid w:val="00C77F86"/>
    <w:rsid w:val="00C82BF1"/>
    <w:rsid w:val="00C83CC9"/>
    <w:rsid w:val="00C85497"/>
    <w:rsid w:val="00C95C7E"/>
    <w:rsid w:val="00C97680"/>
    <w:rsid w:val="00CA626D"/>
    <w:rsid w:val="00CB7BE2"/>
    <w:rsid w:val="00CC5981"/>
    <w:rsid w:val="00CC6986"/>
    <w:rsid w:val="00CD04F8"/>
    <w:rsid w:val="00CD1296"/>
    <w:rsid w:val="00CD180B"/>
    <w:rsid w:val="00CD2D81"/>
    <w:rsid w:val="00CD41DF"/>
    <w:rsid w:val="00CD50E6"/>
    <w:rsid w:val="00CD5660"/>
    <w:rsid w:val="00CF2FFF"/>
    <w:rsid w:val="00CF6557"/>
    <w:rsid w:val="00D0398B"/>
    <w:rsid w:val="00D11B3B"/>
    <w:rsid w:val="00D17CFC"/>
    <w:rsid w:val="00D211E4"/>
    <w:rsid w:val="00D21656"/>
    <w:rsid w:val="00D21CCC"/>
    <w:rsid w:val="00D224B9"/>
    <w:rsid w:val="00D260B0"/>
    <w:rsid w:val="00D328F1"/>
    <w:rsid w:val="00D362C5"/>
    <w:rsid w:val="00D36542"/>
    <w:rsid w:val="00D4007A"/>
    <w:rsid w:val="00D44367"/>
    <w:rsid w:val="00D443AC"/>
    <w:rsid w:val="00D45945"/>
    <w:rsid w:val="00D474A5"/>
    <w:rsid w:val="00D474BE"/>
    <w:rsid w:val="00D47B33"/>
    <w:rsid w:val="00D52A82"/>
    <w:rsid w:val="00D53F11"/>
    <w:rsid w:val="00D64A5F"/>
    <w:rsid w:val="00D70A31"/>
    <w:rsid w:val="00D70F6F"/>
    <w:rsid w:val="00D745F0"/>
    <w:rsid w:val="00D8063F"/>
    <w:rsid w:val="00D8198C"/>
    <w:rsid w:val="00D8380D"/>
    <w:rsid w:val="00D83FC8"/>
    <w:rsid w:val="00D924A4"/>
    <w:rsid w:val="00DA0392"/>
    <w:rsid w:val="00DB1246"/>
    <w:rsid w:val="00DB196F"/>
    <w:rsid w:val="00DB35A2"/>
    <w:rsid w:val="00DB4D4E"/>
    <w:rsid w:val="00DC2677"/>
    <w:rsid w:val="00DC27CD"/>
    <w:rsid w:val="00DC5235"/>
    <w:rsid w:val="00DD1495"/>
    <w:rsid w:val="00DD2E8E"/>
    <w:rsid w:val="00DD38C1"/>
    <w:rsid w:val="00DE3726"/>
    <w:rsid w:val="00DE3E39"/>
    <w:rsid w:val="00DE498A"/>
    <w:rsid w:val="00DF002A"/>
    <w:rsid w:val="00E03039"/>
    <w:rsid w:val="00E04871"/>
    <w:rsid w:val="00E131D5"/>
    <w:rsid w:val="00E14B4D"/>
    <w:rsid w:val="00E17D01"/>
    <w:rsid w:val="00E22402"/>
    <w:rsid w:val="00E24D81"/>
    <w:rsid w:val="00E254BA"/>
    <w:rsid w:val="00E26D74"/>
    <w:rsid w:val="00E32A74"/>
    <w:rsid w:val="00E35D0B"/>
    <w:rsid w:val="00E374E2"/>
    <w:rsid w:val="00E41EBC"/>
    <w:rsid w:val="00E43AE1"/>
    <w:rsid w:val="00E50004"/>
    <w:rsid w:val="00E5062F"/>
    <w:rsid w:val="00E523DD"/>
    <w:rsid w:val="00E5440A"/>
    <w:rsid w:val="00E55F9A"/>
    <w:rsid w:val="00E562FF"/>
    <w:rsid w:val="00E6455B"/>
    <w:rsid w:val="00E93667"/>
    <w:rsid w:val="00EA33F7"/>
    <w:rsid w:val="00EB1053"/>
    <w:rsid w:val="00EB13B0"/>
    <w:rsid w:val="00EB554D"/>
    <w:rsid w:val="00EB7756"/>
    <w:rsid w:val="00EC0923"/>
    <w:rsid w:val="00EC0AAD"/>
    <w:rsid w:val="00ED2DA9"/>
    <w:rsid w:val="00ED4EF0"/>
    <w:rsid w:val="00EE659E"/>
    <w:rsid w:val="00EE7923"/>
    <w:rsid w:val="00EF0060"/>
    <w:rsid w:val="00EF2680"/>
    <w:rsid w:val="00EF42C3"/>
    <w:rsid w:val="00F00599"/>
    <w:rsid w:val="00F056EE"/>
    <w:rsid w:val="00F140F4"/>
    <w:rsid w:val="00F157F0"/>
    <w:rsid w:val="00F16ADC"/>
    <w:rsid w:val="00F246D9"/>
    <w:rsid w:val="00F25762"/>
    <w:rsid w:val="00F5174C"/>
    <w:rsid w:val="00F51C94"/>
    <w:rsid w:val="00F557F5"/>
    <w:rsid w:val="00F64B9C"/>
    <w:rsid w:val="00F66041"/>
    <w:rsid w:val="00F7215B"/>
    <w:rsid w:val="00F7255F"/>
    <w:rsid w:val="00F7587C"/>
    <w:rsid w:val="00F76C62"/>
    <w:rsid w:val="00F80565"/>
    <w:rsid w:val="00F81516"/>
    <w:rsid w:val="00F82B4C"/>
    <w:rsid w:val="00F82C20"/>
    <w:rsid w:val="00F853CB"/>
    <w:rsid w:val="00F90886"/>
    <w:rsid w:val="00F945EA"/>
    <w:rsid w:val="00FA13D1"/>
    <w:rsid w:val="00FA20FA"/>
    <w:rsid w:val="00FA301B"/>
    <w:rsid w:val="00FA61E0"/>
    <w:rsid w:val="00FA74BF"/>
    <w:rsid w:val="00FB4407"/>
    <w:rsid w:val="00FB56F7"/>
    <w:rsid w:val="00FB7310"/>
    <w:rsid w:val="00FB736E"/>
    <w:rsid w:val="00FC1F02"/>
    <w:rsid w:val="00FC23F3"/>
    <w:rsid w:val="00FD0E29"/>
    <w:rsid w:val="00FD2419"/>
    <w:rsid w:val="00FD5D10"/>
    <w:rsid w:val="00FE1408"/>
    <w:rsid w:val="00FE2B2C"/>
    <w:rsid w:val="00FE60EB"/>
    <w:rsid w:val="00FE66E6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813A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9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394"/>
  </w:style>
  <w:style w:type="paragraph" w:styleId="Footer">
    <w:name w:val="footer"/>
    <w:basedOn w:val="Normal"/>
    <w:link w:val="FooterChar"/>
    <w:uiPriority w:val="99"/>
    <w:unhideWhenUsed/>
    <w:rsid w:val="0009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394"/>
  </w:style>
  <w:style w:type="paragraph" w:styleId="FootnoteText">
    <w:name w:val="footnote text"/>
    <w:basedOn w:val="Normal"/>
    <w:link w:val="FootnoteTextChar"/>
    <w:uiPriority w:val="99"/>
    <w:semiHidden/>
    <w:unhideWhenUsed/>
    <w:rsid w:val="007B78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8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78B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A9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F07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7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07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7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7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B17-7D71-4D1B-87B6-81312EBD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2020-04-23T14:28:00Z</dcterms:created>
  <dcterms:modified xsi:type="dcterms:W3CDTF">2020-04-23T14:28:00Z</dcterms:modified>
</cp:coreProperties>
</file>